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E1" w:rsidRPr="00FF7733" w:rsidRDefault="003D77E1" w:rsidP="003D77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Приложение N </w:t>
      </w:r>
      <w:r w:rsidR="00F274BC" w:rsidRPr="00F274BC">
        <w:rPr>
          <w:rFonts w:eastAsia="Times New Roman" w:cs="Times New Roman"/>
          <w:bCs/>
          <w:color w:val="22272F"/>
          <w:sz w:val="20"/>
          <w:szCs w:val="20"/>
          <w:lang w:eastAsia="ru-RU"/>
        </w:rPr>
        <w:t>6</w:t>
      </w:r>
      <w:bookmarkStart w:id="0" w:name="_GoBack"/>
      <w:bookmarkEnd w:id="0"/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к </w:t>
      </w:r>
      <w:hyperlink r:id="rId5" w:anchor="/document/403461880/entry/0" w:history="1">
        <w:r w:rsidRPr="00FF7733">
          <w:rPr>
            <w:rFonts w:ascii="PT Serif" w:eastAsia="Times New Roman" w:hAnsi="PT Serif" w:cs="Times New Roman"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 Министерства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от 26 января 2022 г. N 24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(с изменениями от 16 декабря 2022 г.)</w:t>
      </w:r>
    </w:p>
    <w:p w:rsidR="003D77E1" w:rsidRPr="00FF7733" w:rsidRDefault="003D77E1" w:rsidP="003D77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Форма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Отчет о применении в отношении работодателя процедур о несостоятельности (банкротстве)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3D77E1" w:rsidRPr="003D77E1" w:rsidTr="003D77E1">
        <w:tc>
          <w:tcPr>
            <w:tcW w:w="3060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3D77E1" w:rsidRPr="003D77E1" w:rsidRDefault="003D77E1" w:rsidP="000206B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"</w:t>
            </w:r>
            <w:r w:rsidR="000206B3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30</w:t>
            </w: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" </w:t>
            </w:r>
            <w:r w:rsidR="000206B3" w:rsidRPr="000206B3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января</w:t>
            </w:r>
            <w:r w:rsidR="000206B3" w:rsidRPr="000206B3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  <w:r w:rsidR="000206B3" w:rsidRPr="000206B3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2023</w:t>
            </w: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345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3D77E1" w:rsidRPr="003D77E1" w:rsidTr="003D77E1">
        <w:tc>
          <w:tcPr>
            <w:tcW w:w="3060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(дата представления отчета)</w:t>
            </w:r>
          </w:p>
        </w:tc>
        <w:tc>
          <w:tcPr>
            <w:tcW w:w="3345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3D77E1" w:rsidRPr="003D77E1" w:rsidTr="003D77E1">
        <w:tc>
          <w:tcPr>
            <w:tcW w:w="3060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3D77E1" w:rsidRPr="003D77E1" w:rsidRDefault="003D77E1" w:rsidP="000206B3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N </w:t>
            </w:r>
            <w:r w:rsidR="000206B3" w:rsidRPr="000206B3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3D77E1" w:rsidRPr="003D77E1" w:rsidTr="003D77E1">
        <w:tc>
          <w:tcPr>
            <w:tcW w:w="3060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(номер, присвоенный отчету)</w:t>
            </w:r>
          </w:p>
        </w:tc>
        <w:tc>
          <w:tcPr>
            <w:tcW w:w="3345" w:type="dxa"/>
            <w:shd w:val="clear" w:color="auto" w:fill="FFFFFF"/>
            <w:hideMark/>
          </w:tcPr>
          <w:p w:rsidR="003D77E1" w:rsidRPr="003D77E1" w:rsidRDefault="003D77E1" w:rsidP="003D77E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</w:pPr>
            <w:r w:rsidRPr="003D77E1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</w:tbl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</w:p>
    <w:p w:rsidR="000206B3" w:rsidRDefault="003D77E1" w:rsidP="000206B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  <w:r w:rsidR="000206B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0206B3"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Общество с ограниченной ответственностью «Луч»</w:t>
      </w:r>
    </w:p>
    <w:p w:rsidR="000206B3" w:rsidRPr="002E164D" w:rsidRDefault="000206B3" w:rsidP="000206B3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>
        <w:rPr>
          <w:rFonts w:eastAsia="Times New Roman" w:cs="Times New Roman"/>
          <w:color w:val="22272F"/>
          <w:sz w:val="27"/>
          <w:szCs w:val="27"/>
          <w:lang w:eastAsia="ru-RU"/>
        </w:rPr>
        <w:t>2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 Организационно-правовая форма (по </w:t>
      </w:r>
      <w:hyperlink r:id="rId6" w:anchor="/document/70284934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ОКОПФ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7" w:anchor="/document/70284934/entry/307" w:history="1">
        <w:r w:rsidRPr="00C0056C">
          <w:rPr>
            <w:rStyle w:val="a3"/>
            <w:rFonts w:ascii="PT Serif" w:hAnsi="PT Serif"/>
            <w:b/>
            <w:color w:val="17365D" w:themeColor="text2" w:themeShade="BF"/>
            <w:sz w:val="27"/>
            <w:szCs w:val="27"/>
            <w:u w:val="none"/>
            <w:shd w:val="clear" w:color="auto" w:fill="FFFFFF"/>
          </w:rPr>
          <w:t>1 23 00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</w:p>
    <w:p w:rsidR="000206B3" w:rsidRPr="00E34D0F" w:rsidRDefault="000206B3" w:rsidP="000206B3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0206B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3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 Форма собственности (по </w:t>
      </w:r>
      <w:hyperlink r:id="rId8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0206B3" w:rsidRPr="002E164D" w:rsidRDefault="000206B3" w:rsidP="000206B3">
      <w:pPr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0206B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4</w:t>
      </w:r>
      <w:r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ОГРН/ОГРНИП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1146715007152</w:t>
      </w:r>
    </w:p>
    <w:p w:rsidR="000206B3" w:rsidRPr="00C0056C" w:rsidRDefault="000206B3" w:rsidP="000206B3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0206B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5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 ИНН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2464331674</w:t>
      </w:r>
    </w:p>
    <w:p w:rsidR="000206B3" w:rsidRPr="00C0056C" w:rsidRDefault="000206B3" w:rsidP="000206B3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0206B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6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 КПП отчитывающейся организации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246501001</w:t>
      </w:r>
    </w:p>
    <w:p w:rsidR="000206B3" w:rsidRDefault="000206B3" w:rsidP="000206B3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0206B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7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 Основной вид экономической деятельности (по </w:t>
      </w:r>
      <w:hyperlink r:id="rId9" w:anchor="/document/70650726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ОКВЭД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71.11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8. Контактный номер телефона ответственного лица</w:t>
      </w:r>
      <w:r w:rsidR="000206B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0206B3"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+7 846 232-71-93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 Адрес электронной почты ответственного лица</w:t>
      </w:r>
      <w:r w:rsidR="000206B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10" w:history="1">
        <w:r w:rsidR="000206B3" w:rsidRPr="000206B3">
          <w:rPr>
            <w:rFonts w:eastAsia="Times New Roman" w:cs="Times New Roman"/>
            <w:b/>
            <w:color w:val="17365D" w:themeColor="text2" w:themeShade="BF"/>
            <w:sz w:val="27"/>
            <w:szCs w:val="27"/>
            <w:lang w:eastAsia="ru-RU"/>
          </w:rPr>
          <w:t>luch493515@mail.ru</w:t>
        </w:r>
      </w:hyperlink>
    </w:p>
    <w:p w:rsidR="000206B3" w:rsidRDefault="003D77E1" w:rsidP="000206B3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10. Адрес фактического нахождения отчитывающейся организации/места проживания индивидуального предпринимателя</w:t>
      </w:r>
      <w:r w:rsidR="000206B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0206B3"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660037, Красноярский край,  </w:t>
      </w:r>
    </w:p>
    <w:p w:rsidR="000206B3" w:rsidRPr="00C0056C" w:rsidRDefault="000206B3" w:rsidP="000206B3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  Красноярск, ул. Борисова, д. 52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 Место представления отчета</w:t>
      </w:r>
      <w:hyperlink r:id="rId11" w:anchor="/document/403461880/entry/611" w:history="1">
        <w:r w:rsidRPr="003D77E1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</w:t>
        </w:r>
      </w:hyperlink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11.1. субъект Российской Федерации</w:t>
      </w:r>
      <w:r w:rsidR="000206B3" w:rsidRPr="000206B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0206B3"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0206B3" w:rsidRDefault="003D77E1" w:rsidP="000206B3">
      <w:pPr>
        <w:shd w:val="clear" w:color="auto" w:fill="FFFFFF"/>
        <w:spacing w:after="0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11.2. наименование населенного пункта (по ГАР)</w:t>
      </w:r>
      <w:r w:rsidR="000206B3" w:rsidRPr="000206B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0206B3"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Красноярский край, </w:t>
      </w:r>
    </w:p>
    <w:p w:rsidR="000206B3" w:rsidRPr="003970DD" w:rsidRDefault="000206B3" w:rsidP="000206B3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Красноярск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</w:p>
    <w:p w:rsidR="003D77E1" w:rsidRPr="000206B3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11.3. государственное учреждение службы занятости населения</w:t>
      </w:r>
      <w:r w:rsidR="000206B3" w:rsidRPr="000206B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0206B3" w:rsidRPr="000206B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ГКУ «Центр занятости населения г. Красноярска»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 Основание применения процедуры о несостоятельности (банкротстве):</w:t>
      </w:r>
    </w:p>
    <w:p w:rsidR="003D77E1" w:rsidRPr="003D77E1" w:rsidRDefault="003D77E1" w:rsidP="00A50263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12.1. наименование документа</w:t>
      </w:r>
      <w:hyperlink r:id="rId12" w:anchor="/document/403461880/entry/622" w:history="1">
        <w:r w:rsidRPr="003D77E1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="000206B3" w:rsidRPr="000206B3">
        <w:rPr>
          <w:rFonts w:ascii="Arial" w:hAnsi="Arial" w:cs="Arial"/>
          <w:sz w:val="20"/>
          <w:szCs w:val="20"/>
        </w:rPr>
        <w:t xml:space="preserve"> </w:t>
      </w:r>
      <w:r w:rsid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о</w:t>
      </w:r>
      <w:r w:rsidR="000206B3" w:rsidRP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пределение Арбитражного суда Красноярского края 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12.2. дата документа</w:t>
      </w:r>
      <w:r w:rsidR="00A5026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="00A50263" w:rsidRP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16.01.2023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12.3. номер документа</w:t>
      </w:r>
      <w:r w:rsidR="00A5026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A50263" w:rsidRP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N А33-17131/2022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proofErr w:type="gramStart"/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12.4. наименование процедуры (выбрать значение: наблюдение; финансовое оздоровление; внешнее управление; конкурсное производство; мировое соглашение)</w:t>
      </w:r>
      <w:r w:rsidR="00A5026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A50263" w:rsidRPr="003D77E1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наблюдение</w:t>
      </w:r>
      <w:proofErr w:type="gramEnd"/>
    </w:p>
    <w:p w:rsidR="00A50263" w:rsidRPr="003D77E1" w:rsidRDefault="003D77E1" w:rsidP="00A502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12.5. дата начала применения процедур о несостоятельности (банкротстве)</w:t>
      </w:r>
      <w:r w:rsidR="00A5026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</w:t>
      </w:r>
      <w:r w:rsidR="00A50263" w:rsidRP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6.01.2023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12.6. дата окончания применения процедур о несостоятельности (банкротстве)</w:t>
      </w:r>
      <w:r w:rsidR="00A50263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31.08</w:t>
      </w:r>
      <w:r w:rsidR="00A50263" w:rsidRPr="00A50263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.2023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 Иные сведения</w:t>
      </w:r>
    </w:p>
    <w:p w:rsidR="003D77E1" w:rsidRPr="003D77E1" w:rsidRDefault="003D77E1" w:rsidP="003D7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D77E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 Отчет представляется в орган службы занятости населения субъекта, по месту фактического нахождения отчитывающейся организации.</w:t>
      </w:r>
    </w:p>
    <w:p w:rsidR="003D77E1" w:rsidRPr="003D77E1" w:rsidRDefault="003D77E1" w:rsidP="003D7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3D77E1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** Указывается наименование документа органа государственной власти Российской Федерации, на основании которого принято решение о применении процедуры несостоятельности (банкротстве).</w:t>
      </w:r>
    </w:p>
    <w:p w:rsidR="0095788A" w:rsidRDefault="0095788A"/>
    <w:sectPr w:rsidR="0095788A" w:rsidSect="003D7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E1"/>
    <w:rsid w:val="000206B3"/>
    <w:rsid w:val="00044963"/>
    <w:rsid w:val="00103BAB"/>
    <w:rsid w:val="001F4C3C"/>
    <w:rsid w:val="003B7B0D"/>
    <w:rsid w:val="003D77E1"/>
    <w:rsid w:val="004A69EE"/>
    <w:rsid w:val="005B3EAE"/>
    <w:rsid w:val="00603E5E"/>
    <w:rsid w:val="007A3218"/>
    <w:rsid w:val="00803160"/>
    <w:rsid w:val="00882C72"/>
    <w:rsid w:val="0095788A"/>
    <w:rsid w:val="00A50263"/>
    <w:rsid w:val="00C0125F"/>
    <w:rsid w:val="00D76C19"/>
    <w:rsid w:val="00DE7DC8"/>
    <w:rsid w:val="00F12B31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7E1"/>
  </w:style>
  <w:style w:type="character" w:styleId="a3">
    <w:name w:val="Hyperlink"/>
    <w:basedOn w:val="a0"/>
    <w:uiPriority w:val="99"/>
    <w:semiHidden/>
    <w:unhideWhenUsed/>
    <w:rsid w:val="003D77E1"/>
    <w:rPr>
      <w:color w:val="0000FF"/>
      <w:u w:val="single"/>
    </w:rPr>
  </w:style>
  <w:style w:type="paragraph" w:customStyle="1" w:styleId="s3">
    <w:name w:val="s_3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7E1"/>
  </w:style>
  <w:style w:type="character" w:styleId="a3">
    <w:name w:val="Hyperlink"/>
    <w:basedOn w:val="a0"/>
    <w:uiPriority w:val="99"/>
    <w:semiHidden/>
    <w:unhideWhenUsed/>
    <w:rsid w:val="003D77E1"/>
    <w:rPr>
      <w:color w:val="0000FF"/>
      <w:u w:val="single"/>
    </w:rPr>
  </w:style>
  <w:style w:type="paragraph" w:customStyle="1" w:styleId="s3">
    <w:name w:val="s_3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mailto:luch4935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Евсюкова</dc:creator>
  <cp:lastModifiedBy>Татьяна Кокшарова</cp:lastModifiedBy>
  <cp:revision>3</cp:revision>
  <dcterms:created xsi:type="dcterms:W3CDTF">2023-01-18T08:55:00Z</dcterms:created>
  <dcterms:modified xsi:type="dcterms:W3CDTF">2023-01-19T09:04:00Z</dcterms:modified>
</cp:coreProperties>
</file>